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1E9DE53A"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5D6250">
        <w:rPr>
          <w:rFonts w:ascii="Arial" w:hAnsi="Arial" w:cs="Arial"/>
          <w:szCs w:val="24"/>
          <w:lang w:val="pt-BR" w:eastAsia="ja-JP"/>
        </w:rPr>
        <w:t>3.3</w:t>
      </w:r>
    </w:p>
    <w:p w14:paraId="50877FE2" w14:textId="3C55ECF9"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377986">
        <w:rPr>
          <w:rFonts w:ascii="Arial" w:hAnsi="Arial" w:cs="Arial"/>
          <w:szCs w:val="24"/>
          <w:lang w:val="en-US" w:eastAsia="ja-JP"/>
        </w:rPr>
        <w:t>Dolby Laboratories, Inc.</w:t>
      </w:r>
    </w:p>
    <w:p w14:paraId="7941CEF3" w14:textId="00475E98"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77986">
        <w:rPr>
          <w:rFonts w:ascii="Arial" w:hAnsi="Arial" w:cs="Arial"/>
          <w:b/>
          <w:szCs w:val="24"/>
          <w:lang w:val="en-US" w:eastAsia="ja-JP"/>
        </w:rPr>
        <w:t xml:space="preserve">Comments on </w:t>
      </w:r>
      <w:bookmarkStart w:id="0" w:name="_Hlk118207004"/>
      <w:r w:rsidR="00AB7CE2">
        <w:rPr>
          <w:rFonts w:ascii="Arial" w:hAnsi="Arial" w:cs="Arial"/>
          <w:b/>
          <w:szCs w:val="24"/>
          <w:lang w:val="en-US" w:eastAsia="ja-JP"/>
        </w:rPr>
        <w:t xml:space="preserve">Immersive </w:t>
      </w:r>
      <w:r w:rsidR="00A61AC5">
        <w:rPr>
          <w:rFonts w:ascii="Arial" w:hAnsi="Arial" w:cs="Arial"/>
          <w:b/>
          <w:szCs w:val="24"/>
          <w:lang w:val="en-US" w:eastAsia="ja-JP"/>
        </w:rPr>
        <w:t>Audio Support</w:t>
      </w:r>
      <w:bookmarkEnd w:id="0"/>
    </w:p>
    <w:p w14:paraId="6CAD35EA" w14:textId="2C1A89FF"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E20B98">
        <w:rPr>
          <w:rFonts w:ascii="Arial" w:hAnsi="Arial" w:cs="Arial"/>
          <w:szCs w:val="24"/>
          <w:lang w:val="en-US" w:eastAsia="ja-JP"/>
        </w:rPr>
        <w:t xml:space="preserve"> and Agreement</w:t>
      </w:r>
      <w:r w:rsidR="002503BE">
        <w:rPr>
          <w:rFonts w:ascii="Arial" w:hAnsi="Arial" w:cs="Arial"/>
          <w:szCs w:val="24"/>
          <w:lang w:val="en-US" w:eastAsia="ja-JP"/>
        </w:rPr>
        <w:t xml:space="preserve"> </w:t>
      </w:r>
    </w:p>
    <w:p w14:paraId="4BFA32BD" w14:textId="77777777" w:rsidR="00C112DE" w:rsidRPr="00C112DE" w:rsidRDefault="00C112DE" w:rsidP="007D1D47">
      <w:pPr>
        <w:pStyle w:val="Heading1"/>
        <w:numPr>
          <w:ilvl w:val="0"/>
          <w:numId w:val="3"/>
        </w:numPr>
      </w:pPr>
      <w:bookmarkStart w:id="1" w:name="_Toc504713888"/>
      <w:r w:rsidRPr="00C112DE">
        <w:t>Introduction</w:t>
      </w:r>
    </w:p>
    <w:p w14:paraId="7BAE957B" w14:textId="1D2FDE6C" w:rsidR="00F2666E" w:rsidRDefault="00261837" w:rsidP="00C112DE">
      <w:pPr>
        <w:rPr>
          <w:lang w:val="en-US"/>
        </w:rPr>
      </w:pPr>
      <w:r>
        <w:rPr>
          <w:lang w:val="en-US"/>
        </w:rPr>
        <w:t>In this contribution, we</w:t>
      </w:r>
      <w:r w:rsidR="00AB7CE2">
        <w:rPr>
          <w:lang w:val="en-US"/>
        </w:rPr>
        <w:t xml:space="preserve"> discuss </w:t>
      </w:r>
      <w:r w:rsidR="00377986">
        <w:rPr>
          <w:lang w:val="en-US"/>
        </w:rPr>
        <w:t xml:space="preserve">contribution S4aV220919 on </w:t>
      </w:r>
      <w:r w:rsidR="00AB7CE2">
        <w:rPr>
          <w:lang w:val="en-US"/>
        </w:rPr>
        <w:t xml:space="preserve">immersive audio support </w:t>
      </w:r>
      <w:r w:rsidR="00377986">
        <w:rPr>
          <w:lang w:val="en-US"/>
        </w:rPr>
        <w:t>for</w:t>
      </w:r>
      <w:r w:rsidR="00AB7CE2">
        <w:rPr>
          <w:lang w:val="en-US"/>
        </w:rPr>
        <w:t xml:space="preserve"> XR</w:t>
      </w:r>
      <w:r w:rsidR="00F2666E">
        <w:rPr>
          <w:lang w:val="en-US"/>
        </w:rPr>
        <w:t>.</w:t>
      </w:r>
    </w:p>
    <w:bookmarkEnd w:id="1"/>
    <w:p w14:paraId="2245E2A1" w14:textId="553A4A02" w:rsidR="009162C5" w:rsidRDefault="00377986" w:rsidP="00CD5384">
      <w:pPr>
        <w:pStyle w:val="Heading1"/>
        <w:numPr>
          <w:ilvl w:val="0"/>
          <w:numId w:val="3"/>
        </w:numPr>
      </w:pPr>
      <w:r>
        <w:t>Discussion</w:t>
      </w:r>
    </w:p>
    <w:p w14:paraId="08AA1017" w14:textId="11C0109C" w:rsidR="00377986" w:rsidRPr="00377986" w:rsidRDefault="00377986" w:rsidP="00377986">
      <w:pPr>
        <w:rPr>
          <w:sz w:val="22"/>
        </w:rPr>
      </w:pPr>
      <w:r>
        <w:t>2.1 Excerpt:</w:t>
      </w:r>
    </w:p>
    <w:p w14:paraId="7F380184" w14:textId="28C639D3" w:rsidR="00377986" w:rsidRDefault="00377986" w:rsidP="00377986">
      <w:pPr>
        <w:pStyle w:val="ListParagraph"/>
      </w:pPr>
      <w:r>
        <w:rPr>
          <w:noProof/>
        </w:rPr>
        <w:drawing>
          <wp:inline distT="0" distB="0" distL="0" distR="0" wp14:anchorId="3740E993" wp14:editId="00005B96">
            <wp:extent cx="5936615" cy="813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6615" cy="813435"/>
                    </a:xfrm>
                    <a:prstGeom prst="rect">
                      <a:avLst/>
                    </a:prstGeom>
                    <a:noFill/>
                    <a:ln>
                      <a:noFill/>
                    </a:ln>
                  </pic:spPr>
                </pic:pic>
              </a:graphicData>
            </a:graphic>
          </wp:inline>
        </w:drawing>
      </w:r>
    </w:p>
    <w:p w14:paraId="229F29E1" w14:textId="77777777" w:rsidR="00377986" w:rsidRDefault="00377986" w:rsidP="00377986">
      <w:r>
        <w:t xml:space="preserve">Comment: </w:t>
      </w:r>
    </w:p>
    <w:p w14:paraId="4F165934" w14:textId="696DCC92" w:rsidR="00377986" w:rsidRDefault="00377986" w:rsidP="00377986">
      <w:r>
        <w:t>It appears unwarranted that there is a strong assumption that the Audio Subsystem must carry out audio decoding and rendering in a monolithic black box. In some cases, there may be indeed be advantages to do so. However, architectures where the audio renderer is separate from the audio decoder are also being discussed in the Audio SWG. It may also be an invalid assumption that the audio to be rendered is only the downlink audio media. Rather, the XR scene manager may locally generate audio feeds based on triggers from the AR/MR application and sensor (incl. mic) data obtained from the XR Runtime. In addition, the XR Runtime may also directly influence the audio rendering.</w:t>
      </w:r>
    </w:p>
    <w:p w14:paraId="27691023" w14:textId="31DD17C1" w:rsidR="00377986" w:rsidRDefault="00377986" w:rsidP="00377986">
      <w:r>
        <w:t xml:space="preserve">In other words: The source disagrees with the premise of </w:t>
      </w:r>
      <w:r w:rsidR="000C228A">
        <w:t>[</w:t>
      </w:r>
      <w:r>
        <w:t xml:space="preserve">1] that a system according to the figure below is not possible from audio processing perspective and that there is thus a problem that needs to be solved. </w:t>
      </w:r>
    </w:p>
    <w:p w14:paraId="41A87340" w14:textId="77777777" w:rsidR="000C228A" w:rsidRDefault="00377986" w:rsidP="000C228A">
      <w:pPr>
        <w:pStyle w:val="ListParagraph"/>
        <w:keepNext/>
      </w:pPr>
      <w:r>
        <w:rPr>
          <w:noProof/>
        </w:rPr>
        <w:drawing>
          <wp:inline distT="0" distB="0" distL="0" distR="0" wp14:anchorId="504D84E4" wp14:editId="6FA33D37">
            <wp:extent cx="2985770" cy="130111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5770" cy="1301115"/>
                    </a:xfrm>
                    <a:prstGeom prst="rect">
                      <a:avLst/>
                    </a:prstGeom>
                    <a:noFill/>
                    <a:ln>
                      <a:noFill/>
                    </a:ln>
                  </pic:spPr>
                </pic:pic>
              </a:graphicData>
            </a:graphic>
          </wp:inline>
        </w:drawing>
      </w:r>
    </w:p>
    <w:p w14:paraId="049CC5F1" w14:textId="515BA49B" w:rsidR="00377986" w:rsidRDefault="000C228A" w:rsidP="000C228A">
      <w:pPr>
        <w:pStyle w:val="Caption"/>
      </w:pPr>
      <w:r>
        <w:t xml:space="preserve">Figure </w:t>
      </w:r>
      <w:r>
        <w:fldChar w:fldCharType="begin"/>
      </w:r>
      <w:r>
        <w:instrText xml:space="preserve"> SEQ Figure \* ARABIC </w:instrText>
      </w:r>
      <w:r>
        <w:fldChar w:fldCharType="separate"/>
      </w:r>
      <w:r>
        <w:rPr>
          <w:noProof/>
        </w:rPr>
        <w:t>1</w:t>
      </w:r>
      <w:r>
        <w:fldChar w:fldCharType="end"/>
      </w:r>
      <w:r>
        <w:t>: Excerpt from [1]</w:t>
      </w:r>
    </w:p>
    <w:p w14:paraId="763DF01F" w14:textId="77777777" w:rsidR="00377986" w:rsidRDefault="00377986" w:rsidP="00377986">
      <w:pPr>
        <w:rPr>
          <w:lang w:val="en-US"/>
        </w:rPr>
      </w:pPr>
    </w:p>
    <w:p w14:paraId="0D625D02" w14:textId="384BA8CE" w:rsidR="00377986" w:rsidRDefault="00377986" w:rsidP="00377986">
      <w:r>
        <w:lastRenderedPageBreak/>
        <w:t>As a further comment, the XR scene manager should also have Visual and Audio subsystem, in which the main rendering functions take place. The AV subsystems of the XR Runtime would then still be needed to carry out final corrections in response to e.g. the actual pose and echo cancellation (audio). The figure would then preferably look as follows:</w:t>
      </w:r>
    </w:p>
    <w:p w14:paraId="35F4C7A0" w14:textId="77777777" w:rsidR="000C228A" w:rsidRDefault="00377986" w:rsidP="000C228A">
      <w:pPr>
        <w:pStyle w:val="ListParagraph"/>
        <w:keepNext/>
      </w:pPr>
      <w:r>
        <w:rPr>
          <w:rFonts w:asciiTheme="minorHAnsi" w:eastAsiaTheme="minorHAnsi" w:hAnsiTheme="minorHAnsi" w:cstheme="minorBidi"/>
          <w:sz w:val="22"/>
          <w:szCs w:val="22"/>
          <w:lang w:val="en-GB"/>
        </w:rPr>
        <w:object w:dxaOrig="10050" w:dyaOrig="4640" w14:anchorId="48F00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15pt;height:199.65pt" o:ole="">
            <v:imagedata r:id="rId13" o:title=""/>
          </v:shape>
          <o:OLEObject Type="Embed" ProgID="Visio.Drawing.15" ShapeID="_x0000_i1025" DrawAspect="Content" ObjectID="_1728820527" r:id="rId14"/>
        </w:object>
      </w:r>
    </w:p>
    <w:p w14:paraId="0A9B0D36" w14:textId="366603C1" w:rsidR="000C228A" w:rsidRDefault="000C228A" w:rsidP="000C228A">
      <w:pPr>
        <w:pStyle w:val="Caption"/>
      </w:pPr>
      <w:r>
        <w:t xml:space="preserve">Figure </w:t>
      </w:r>
      <w:r>
        <w:fldChar w:fldCharType="begin"/>
      </w:r>
      <w:r>
        <w:instrText xml:space="preserve"> SEQ Figure \* ARABIC </w:instrText>
      </w:r>
      <w:r>
        <w:fldChar w:fldCharType="separate"/>
      </w:r>
      <w:r>
        <w:rPr>
          <w:noProof/>
        </w:rPr>
        <w:t>2</w:t>
      </w:r>
      <w:r>
        <w:fldChar w:fldCharType="end"/>
      </w:r>
      <w:r>
        <w:t>: Preferred 5G AR Framework architecture</w:t>
      </w:r>
    </w:p>
    <w:p w14:paraId="1196E0E2" w14:textId="0BED9EE1" w:rsidR="00377986" w:rsidRDefault="00377986" w:rsidP="00377986">
      <w:pPr>
        <w:pStyle w:val="ListParagraph"/>
      </w:pPr>
      <w:r>
        <w:t xml:space="preserve"> </w:t>
      </w:r>
    </w:p>
    <w:p w14:paraId="0232FD1F" w14:textId="77777777" w:rsidR="00377986" w:rsidRDefault="00377986" w:rsidP="00377986"/>
    <w:p w14:paraId="643DF8B2" w14:textId="517EA2A9" w:rsidR="00377986" w:rsidRDefault="00377986" w:rsidP="00377986">
      <w:r>
        <w:t>If, however, an implementer wants to keep audio decoding and rendering functions together, there is still the option to move the (audio) media access functions into the XR scene manager.</w:t>
      </w:r>
    </w:p>
    <w:p w14:paraId="387AA027" w14:textId="77777777" w:rsidR="00377986" w:rsidRDefault="00377986" w:rsidP="00377986">
      <w:pPr>
        <w:pStyle w:val="ListParagraph"/>
      </w:pPr>
    </w:p>
    <w:p w14:paraId="535EC9B0" w14:textId="6AA2C18D" w:rsidR="00377986" w:rsidRDefault="00377986" w:rsidP="00377986">
      <w:pPr>
        <w:pStyle w:val="ListParagraph"/>
        <w:numPr>
          <w:ilvl w:val="1"/>
          <w:numId w:val="17"/>
        </w:numPr>
      </w:pPr>
      <w:r>
        <w:t>Excerpt:</w:t>
      </w:r>
    </w:p>
    <w:p w14:paraId="766C56C0" w14:textId="23FB5EB6" w:rsidR="00377986" w:rsidRDefault="00377986" w:rsidP="00377986">
      <w:pPr>
        <w:pStyle w:val="ListParagraph"/>
      </w:pPr>
      <w:r>
        <w:rPr>
          <w:noProof/>
        </w:rPr>
        <w:drawing>
          <wp:inline distT="0" distB="0" distL="0" distR="0" wp14:anchorId="3C1D4786" wp14:editId="27E55505">
            <wp:extent cx="5936615" cy="15170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6615" cy="1517015"/>
                    </a:xfrm>
                    <a:prstGeom prst="rect">
                      <a:avLst/>
                    </a:prstGeom>
                    <a:noFill/>
                    <a:ln>
                      <a:noFill/>
                    </a:ln>
                  </pic:spPr>
                </pic:pic>
              </a:graphicData>
            </a:graphic>
          </wp:inline>
        </w:drawing>
      </w:r>
    </w:p>
    <w:p w14:paraId="35490095" w14:textId="77777777" w:rsidR="00377986" w:rsidRDefault="00377986" w:rsidP="00377986">
      <w:r>
        <w:t>Comment:</w:t>
      </w:r>
    </w:p>
    <w:p w14:paraId="4CA81F48" w14:textId="33D3FFCA" w:rsidR="00377986" w:rsidRDefault="00377986" w:rsidP="00377986">
      <w:r>
        <w:t xml:space="preserve">The source agrees. As said above, the source just does not agree that there is a problem to be solved. Consequently, the offered solutions are likely not needed. </w:t>
      </w:r>
    </w:p>
    <w:p w14:paraId="68C4EE1C" w14:textId="77777777" w:rsidR="00377986" w:rsidRDefault="00377986" w:rsidP="00377986">
      <w:pPr>
        <w:pStyle w:val="ListParagraph"/>
      </w:pPr>
    </w:p>
    <w:p w14:paraId="362C50E4" w14:textId="77777777" w:rsidR="000C228A" w:rsidRDefault="00377986" w:rsidP="000C228A">
      <w:pPr>
        <w:pStyle w:val="ListParagraph"/>
        <w:keepNext/>
        <w:numPr>
          <w:ilvl w:val="1"/>
          <w:numId w:val="17"/>
        </w:numPr>
      </w:pPr>
      <w:r>
        <w:lastRenderedPageBreak/>
        <w:t>Excerpt:</w:t>
      </w:r>
      <w:r>
        <w:br/>
      </w:r>
      <w:r>
        <w:rPr>
          <w:noProof/>
        </w:rPr>
        <w:drawing>
          <wp:inline distT="0" distB="0" distL="0" distR="0" wp14:anchorId="4A4DA729" wp14:editId="31CE97D6">
            <wp:extent cx="3023235" cy="1174115"/>
            <wp:effectExtent l="0" t="0" r="571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3235" cy="1174115"/>
                    </a:xfrm>
                    <a:prstGeom prst="rect">
                      <a:avLst/>
                    </a:prstGeom>
                    <a:noFill/>
                    <a:ln>
                      <a:noFill/>
                    </a:ln>
                  </pic:spPr>
                </pic:pic>
              </a:graphicData>
            </a:graphic>
          </wp:inline>
        </w:drawing>
      </w:r>
    </w:p>
    <w:p w14:paraId="65EFAA05" w14:textId="28C71FAF" w:rsidR="00377986" w:rsidRDefault="000C228A" w:rsidP="000C228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1E09EC">
        <w:t>Excerpt from [1]</w:t>
      </w:r>
    </w:p>
    <w:p w14:paraId="365A79B4" w14:textId="77777777" w:rsidR="00377986" w:rsidRDefault="00377986" w:rsidP="00377986">
      <w:pPr>
        <w:pStyle w:val="ListParagraph"/>
      </w:pPr>
    </w:p>
    <w:p w14:paraId="47FBB9D8" w14:textId="77777777" w:rsidR="00377986" w:rsidRDefault="00377986" w:rsidP="00377986">
      <w:r>
        <w:t xml:space="preserve">Comment: </w:t>
      </w:r>
    </w:p>
    <w:p w14:paraId="1F1569F0" w14:textId="7BE8F426" w:rsidR="00377986" w:rsidRDefault="00377986" w:rsidP="00377986">
      <w:r>
        <w:t xml:space="preserve">Regarding the first offered solution (figure above), a callback mechanism between presentation engine and audio subsystem appears like an implementation detail that is not really needed at this stage. Apart from that, </w:t>
      </w:r>
      <w:r w:rsidR="000C228A">
        <w:t>the source</w:t>
      </w:r>
      <w:r>
        <w:t xml:space="preserve"> would still prefer moving the audio subsystem into the presentation engine (which </w:t>
      </w:r>
      <w:r w:rsidR="000C228A">
        <w:t>presumably</w:t>
      </w:r>
      <w:r>
        <w:t xml:space="preserve"> is the same as the XR scene manager).</w:t>
      </w:r>
    </w:p>
    <w:p w14:paraId="138DE732" w14:textId="77777777" w:rsidR="00377986" w:rsidRPr="000C228A" w:rsidRDefault="00377986" w:rsidP="00377986">
      <w:pPr>
        <w:pStyle w:val="ListParagraph"/>
        <w:rPr>
          <w:lang w:val="en-GB"/>
        </w:rPr>
      </w:pPr>
    </w:p>
    <w:p w14:paraId="45EB15D2" w14:textId="4048BB70" w:rsidR="00377986" w:rsidRDefault="00377986" w:rsidP="000C228A">
      <w:pPr>
        <w:pStyle w:val="ListParagraph"/>
        <w:numPr>
          <w:ilvl w:val="1"/>
          <w:numId w:val="17"/>
        </w:numPr>
      </w:pPr>
      <w:r>
        <w:t>Excerpt:</w:t>
      </w:r>
    </w:p>
    <w:p w14:paraId="3C05D1E1" w14:textId="77777777" w:rsidR="000C228A" w:rsidRDefault="00377986" w:rsidP="000C228A">
      <w:pPr>
        <w:pStyle w:val="ListParagraph"/>
        <w:keepNext/>
      </w:pPr>
      <w:r>
        <w:rPr>
          <w:noProof/>
        </w:rPr>
        <w:drawing>
          <wp:inline distT="0" distB="0" distL="0" distR="0" wp14:anchorId="2012B4AD" wp14:editId="5E72F083">
            <wp:extent cx="4598035" cy="31756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98035" cy="3175635"/>
                    </a:xfrm>
                    <a:prstGeom prst="rect">
                      <a:avLst/>
                    </a:prstGeom>
                    <a:noFill/>
                    <a:ln>
                      <a:noFill/>
                    </a:ln>
                  </pic:spPr>
                </pic:pic>
              </a:graphicData>
            </a:graphic>
          </wp:inline>
        </w:drawing>
      </w:r>
    </w:p>
    <w:p w14:paraId="465181F3" w14:textId="3241DD1C" w:rsidR="000C228A" w:rsidRDefault="000C228A" w:rsidP="000C228A">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t>
      </w:r>
      <w:r w:rsidRPr="006F392B">
        <w:t>Excerpt from [1]</w:t>
      </w:r>
    </w:p>
    <w:p w14:paraId="66B0FD04" w14:textId="626AF354" w:rsidR="00377986" w:rsidRDefault="00377986" w:rsidP="00377986">
      <w:pPr>
        <w:pStyle w:val="ListParagraph"/>
      </w:pPr>
      <w:r>
        <w:t xml:space="preserve">    </w:t>
      </w:r>
    </w:p>
    <w:p w14:paraId="2EE77997" w14:textId="77777777" w:rsidR="00377986" w:rsidRDefault="00377986" w:rsidP="000C228A">
      <w:r>
        <w:t>Comment:</w:t>
      </w:r>
    </w:p>
    <w:p w14:paraId="3D84FCA6" w14:textId="55235BC4" w:rsidR="0006676D" w:rsidRPr="000C228A" w:rsidRDefault="00377986" w:rsidP="00EB48D6">
      <w:r>
        <w:t>Regarding the other offered solution (figure above), it is not clear what should be done in the audio bitstream pre-processing. It is not obvious that fiddling with audio codec bitstreams will easily lead to the desired results. It may also not really offer solutions to interact with the immersive AV media in a unified way. In addition, the XR Runtime would still need an audio subsystem to carry out final corrections.</w:t>
      </w:r>
    </w:p>
    <w:p w14:paraId="31DFDB63" w14:textId="0365EF6D" w:rsidR="00583965" w:rsidRDefault="000C228A" w:rsidP="00377986">
      <w:pPr>
        <w:pStyle w:val="Heading1"/>
        <w:numPr>
          <w:ilvl w:val="0"/>
          <w:numId w:val="17"/>
        </w:numPr>
      </w:pPr>
      <w:r>
        <w:lastRenderedPageBreak/>
        <w:t>Conclusion</w:t>
      </w:r>
      <w:r w:rsidR="00D263F8">
        <w:t xml:space="preserve"> and proposal</w:t>
      </w:r>
    </w:p>
    <w:p w14:paraId="319D51E8" w14:textId="4234364D" w:rsidR="005D6250" w:rsidRDefault="000C228A" w:rsidP="000C228A">
      <w:r>
        <w:rPr>
          <w:lang w:val="en-US"/>
        </w:rPr>
        <w:t>The source is of the opinion that the main premise of document [1] is invalid. Consequently, w</w:t>
      </w:r>
      <w:r w:rsidR="005D6250">
        <w:rPr>
          <w:lang w:val="en-US"/>
        </w:rPr>
        <w:t xml:space="preserve">e </w:t>
      </w:r>
      <w:r>
        <w:rPr>
          <w:lang w:val="en-US"/>
        </w:rPr>
        <w:t xml:space="preserve">do not see the need to agree on including the suggested audio architectures into the </w:t>
      </w:r>
      <w:r w:rsidR="005D6250">
        <w:t>permanent document</w:t>
      </w:r>
      <w:r>
        <w:t>.</w:t>
      </w:r>
    </w:p>
    <w:p w14:paraId="6813F0E0" w14:textId="5C1B7F4F" w:rsidR="000C228A" w:rsidRDefault="000C228A" w:rsidP="000C228A">
      <w:pPr>
        <w:rPr>
          <w:szCs w:val="24"/>
          <w:lang w:val="en-US"/>
        </w:rPr>
      </w:pPr>
      <w:r>
        <w:t>The source rather suggests making modification to Fig</w:t>
      </w:r>
      <w:r w:rsidR="00D263F8">
        <w:t>ure</w:t>
      </w:r>
      <w:r>
        <w:t xml:space="preserve"> 1 as shown in Fig</w:t>
      </w:r>
      <w:r w:rsidR="00D263F8">
        <w:t>ure</w:t>
      </w:r>
      <w:r>
        <w:t xml:space="preserve"> 2 of this contribution</w:t>
      </w:r>
      <w:r w:rsidR="00D263F8">
        <w:t>,</w:t>
      </w:r>
      <w:r w:rsidR="003E1F5B">
        <w:t xml:space="preserve"> possibly with the note that the option to move the (audio) media access functions into the XR scene manager offers the possibility to carry out audio decoding and rendering functions </w:t>
      </w:r>
      <w:r w:rsidR="00D263F8">
        <w:t>jointly</w:t>
      </w:r>
      <w:r>
        <w:t xml:space="preserve">. </w:t>
      </w:r>
    </w:p>
    <w:p w14:paraId="2D4518D6" w14:textId="5FF6F5BD" w:rsidR="000C228A" w:rsidRDefault="000C228A" w:rsidP="000C228A">
      <w:pPr>
        <w:rPr>
          <w:szCs w:val="24"/>
          <w:lang w:val="en-US"/>
        </w:rPr>
      </w:pPr>
    </w:p>
    <w:p w14:paraId="203E3B83" w14:textId="67345F7E" w:rsidR="000C228A" w:rsidRDefault="000C228A" w:rsidP="00374BEF">
      <w:pPr>
        <w:pStyle w:val="Heading1"/>
        <w:numPr>
          <w:ilvl w:val="0"/>
          <w:numId w:val="17"/>
        </w:numPr>
        <w:rPr>
          <w:szCs w:val="24"/>
        </w:rPr>
      </w:pPr>
      <w:r w:rsidRPr="00374BEF">
        <w:t>References</w:t>
      </w:r>
    </w:p>
    <w:p w14:paraId="5F404F9F" w14:textId="56B71A4A" w:rsidR="000C228A" w:rsidRPr="005D6250" w:rsidRDefault="000C228A" w:rsidP="000C228A">
      <w:r>
        <w:rPr>
          <w:szCs w:val="24"/>
          <w:lang w:val="en-US"/>
        </w:rPr>
        <w:t>[1]</w:t>
      </w:r>
      <w:r>
        <w:rPr>
          <w:szCs w:val="24"/>
          <w:lang w:val="en-US"/>
        </w:rPr>
        <w:tab/>
      </w:r>
      <w:r>
        <w:rPr>
          <w:szCs w:val="24"/>
          <w:lang w:val="en-US"/>
        </w:rPr>
        <w:tab/>
        <w:t xml:space="preserve">S4aV220919: </w:t>
      </w:r>
      <w:r w:rsidRPr="000C228A">
        <w:rPr>
          <w:szCs w:val="24"/>
          <w:lang w:val="en-US"/>
        </w:rPr>
        <w:t>Immersive Audio Support</w:t>
      </w:r>
      <w:r w:rsidR="00374BEF">
        <w:rPr>
          <w:szCs w:val="24"/>
          <w:lang w:val="en-US"/>
        </w:rPr>
        <w:t>, Qualcomm Inc.</w:t>
      </w:r>
    </w:p>
    <w:p w14:paraId="7A7DC390" w14:textId="62098FE8" w:rsidR="007F16A4" w:rsidRPr="005D6250" w:rsidRDefault="007F16A4" w:rsidP="00374BEF"/>
    <w:sectPr w:rsidR="007F16A4" w:rsidRPr="005D6250" w:rsidSect="00E72D76">
      <w:headerReference w:type="even" r:id="rId18"/>
      <w:headerReference w:type="default" r:id="rId19"/>
      <w:footerReference w:type="default" r:id="rId2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B630F" w14:textId="77777777" w:rsidR="002E2D23" w:rsidRDefault="002E2D23">
      <w:r>
        <w:separator/>
      </w:r>
    </w:p>
  </w:endnote>
  <w:endnote w:type="continuationSeparator" w:id="0">
    <w:p w14:paraId="3E01D383" w14:textId="77777777" w:rsidR="002E2D23" w:rsidRDefault="002E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7521" w14:textId="77777777" w:rsidR="002E2D23" w:rsidRDefault="002E2D23">
      <w:r>
        <w:separator/>
      </w:r>
    </w:p>
  </w:footnote>
  <w:footnote w:type="continuationSeparator" w:id="0">
    <w:p w14:paraId="34D5C3D1" w14:textId="77777777" w:rsidR="002E2D23" w:rsidRDefault="002E2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7CD1" w14:textId="3D8BFC4E" w:rsidR="00FC2F3F" w:rsidRPr="008A5E80" w:rsidRDefault="005D6250" w:rsidP="00FC2F3F">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8A5E80">
      <w:rPr>
        <w:rFonts w:ascii="Arial" w:eastAsia="SimSun" w:hAnsi="Arial" w:cs="Arial"/>
        <w:sz w:val="22"/>
      </w:rPr>
      <w:t>SA4-e (AH) Video SWG post 120-e</w:t>
    </w:r>
    <w:r w:rsidR="00FC2F3F" w:rsidRPr="008A5E80">
      <w:rPr>
        <w:rFonts w:ascii="Arial" w:eastAsia="SimSun" w:hAnsi="Arial" w:cs="Arial"/>
        <w:b/>
        <w:i/>
        <w:sz w:val="22"/>
      </w:rPr>
      <w:tab/>
    </w:r>
    <w:r w:rsidRPr="008A5E80">
      <w:rPr>
        <w:rFonts w:ascii="Arial" w:eastAsia="SimSun" w:hAnsi="Arial" w:cs="Arial"/>
        <w:b/>
        <w:i/>
        <w:sz w:val="28"/>
        <w:szCs w:val="28"/>
      </w:rPr>
      <w:t>S4aV2209</w:t>
    </w:r>
    <w:r w:rsidR="003E1F5B">
      <w:rPr>
        <w:rFonts w:ascii="Arial" w:eastAsia="SimSun" w:hAnsi="Arial" w:cs="Arial"/>
        <w:b/>
        <w:i/>
        <w:sz w:val="28"/>
        <w:szCs w:val="28"/>
      </w:rPr>
      <w:t>24</w:t>
    </w:r>
  </w:p>
  <w:p w14:paraId="3F5A598F" w14:textId="5E1AD15C" w:rsidR="00FC2F3F" w:rsidRPr="00CD4C7B" w:rsidRDefault="003E1F5B" w:rsidP="00FC2F3F">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w:t>
    </w:r>
    <w:r w:rsidR="005D6250">
      <w:rPr>
        <w:rFonts w:ascii="Arial" w:eastAsia="SimSun" w:hAnsi="Arial" w:cs="Arial"/>
        <w:sz w:val="22"/>
        <w:lang w:eastAsia="zh-CN"/>
      </w:rPr>
      <w:t xml:space="preserve"> </w:t>
    </w:r>
    <w:r>
      <w:rPr>
        <w:rFonts w:ascii="Arial" w:eastAsia="SimSun" w:hAnsi="Arial" w:cs="Arial"/>
        <w:sz w:val="22"/>
        <w:lang w:eastAsia="zh-CN"/>
      </w:rPr>
      <w:t>Novem</w:t>
    </w:r>
    <w:r w:rsidR="005D6250">
      <w:rPr>
        <w:rFonts w:ascii="Arial" w:eastAsia="SimSun" w:hAnsi="Arial" w:cs="Arial"/>
        <w:sz w:val="22"/>
        <w:lang w:eastAsia="zh-CN"/>
      </w:rPr>
      <w:t>ber 2022, Telco</w:t>
    </w:r>
    <w:r w:rsidR="005D6250">
      <w:rPr>
        <w:rFonts w:ascii="Arial" w:eastAsia="SimSun" w:hAnsi="Arial" w:cs="Arial"/>
        <w:sz w:val="22"/>
        <w:lang w:eastAsia="zh-CN"/>
      </w:rPr>
      <w:tab/>
    </w:r>
  </w:p>
  <w:p w14:paraId="3B56539F" w14:textId="77777777" w:rsidR="008075BF" w:rsidRPr="00FC2F3F" w:rsidRDefault="008075BF" w:rsidP="00FC2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E863E0"/>
    <w:multiLevelType w:val="multilevel"/>
    <w:tmpl w:val="B1BAAF7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551D72"/>
    <w:multiLevelType w:val="hybridMultilevel"/>
    <w:tmpl w:val="798202EE"/>
    <w:lvl w:ilvl="0" w:tplc="727EE060">
      <w:start w:val="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01727"/>
    <w:multiLevelType w:val="hybridMultilevel"/>
    <w:tmpl w:val="5172090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4"/>
  </w:num>
  <w:num w:numId="7">
    <w:abstractNumId w:val="6"/>
  </w:num>
  <w:num w:numId="8">
    <w:abstractNumId w:val="0"/>
  </w:num>
  <w:num w:numId="9">
    <w:abstractNumId w:val="2"/>
  </w:num>
  <w:num w:numId="10">
    <w:abstractNumId w:val="13"/>
  </w:num>
  <w:num w:numId="11">
    <w:abstractNumId w:val="11"/>
  </w:num>
  <w:num w:numId="12">
    <w:abstractNumId w:val="12"/>
  </w:num>
  <w:num w:numId="13">
    <w:abstractNumId w:val="13"/>
  </w:num>
  <w:num w:numId="14">
    <w:abstractNumId w:val="14"/>
  </w:num>
  <w:num w:numId="15">
    <w:abstractNumId w:val="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6676D"/>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228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0CDB"/>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2D23"/>
    <w:rsid w:val="002E608D"/>
    <w:rsid w:val="002E6432"/>
    <w:rsid w:val="002F0BCA"/>
    <w:rsid w:val="002F1F22"/>
    <w:rsid w:val="002F28BE"/>
    <w:rsid w:val="002F495C"/>
    <w:rsid w:val="002F4B48"/>
    <w:rsid w:val="002F6829"/>
    <w:rsid w:val="003004A3"/>
    <w:rsid w:val="003007CF"/>
    <w:rsid w:val="003028B5"/>
    <w:rsid w:val="0030351E"/>
    <w:rsid w:val="00303EC4"/>
    <w:rsid w:val="00304937"/>
    <w:rsid w:val="00305262"/>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4BEF"/>
    <w:rsid w:val="003755E0"/>
    <w:rsid w:val="003772C4"/>
    <w:rsid w:val="00377986"/>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1F5B"/>
    <w:rsid w:val="003E473F"/>
    <w:rsid w:val="003E5B78"/>
    <w:rsid w:val="003E6406"/>
    <w:rsid w:val="003E7C6D"/>
    <w:rsid w:val="003F0F68"/>
    <w:rsid w:val="003F2334"/>
    <w:rsid w:val="003F453D"/>
    <w:rsid w:val="003F4F7E"/>
    <w:rsid w:val="003F5CF4"/>
    <w:rsid w:val="004000C2"/>
    <w:rsid w:val="00400C13"/>
    <w:rsid w:val="00401506"/>
    <w:rsid w:val="00401BFA"/>
    <w:rsid w:val="00404A8C"/>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580B"/>
    <w:rsid w:val="004C6119"/>
    <w:rsid w:val="004C6660"/>
    <w:rsid w:val="004C75A2"/>
    <w:rsid w:val="004D199C"/>
    <w:rsid w:val="004D2165"/>
    <w:rsid w:val="004D2C8F"/>
    <w:rsid w:val="004D2D9A"/>
    <w:rsid w:val="004D36FD"/>
    <w:rsid w:val="004D3DEF"/>
    <w:rsid w:val="004D5664"/>
    <w:rsid w:val="004D5D37"/>
    <w:rsid w:val="004E1CB0"/>
    <w:rsid w:val="004E384D"/>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D65"/>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79"/>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EDE"/>
    <w:rsid w:val="005D4FC8"/>
    <w:rsid w:val="005D5010"/>
    <w:rsid w:val="005D625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3235"/>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052"/>
    <w:rsid w:val="006711C9"/>
    <w:rsid w:val="00672125"/>
    <w:rsid w:val="00673976"/>
    <w:rsid w:val="006742CA"/>
    <w:rsid w:val="0067456B"/>
    <w:rsid w:val="00674D74"/>
    <w:rsid w:val="00675578"/>
    <w:rsid w:val="00675E67"/>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BFD"/>
    <w:rsid w:val="006D5233"/>
    <w:rsid w:val="006D6881"/>
    <w:rsid w:val="006D7670"/>
    <w:rsid w:val="006D7952"/>
    <w:rsid w:val="006E16B4"/>
    <w:rsid w:val="006E2F1C"/>
    <w:rsid w:val="006E6FC5"/>
    <w:rsid w:val="006E75DC"/>
    <w:rsid w:val="006E7C43"/>
    <w:rsid w:val="006E7DF7"/>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4C27"/>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69A"/>
    <w:rsid w:val="007D7713"/>
    <w:rsid w:val="007D77A2"/>
    <w:rsid w:val="007E00E2"/>
    <w:rsid w:val="007E1583"/>
    <w:rsid w:val="007E1706"/>
    <w:rsid w:val="007E2227"/>
    <w:rsid w:val="007E413E"/>
    <w:rsid w:val="007E66A8"/>
    <w:rsid w:val="007E6961"/>
    <w:rsid w:val="007E6E6F"/>
    <w:rsid w:val="007F16A4"/>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86CEA"/>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5E80"/>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17A8"/>
    <w:rsid w:val="009041D5"/>
    <w:rsid w:val="00904C10"/>
    <w:rsid w:val="009057A6"/>
    <w:rsid w:val="00905F97"/>
    <w:rsid w:val="009142F8"/>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6FE7"/>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39D7"/>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438"/>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AC5"/>
    <w:rsid w:val="00A61CFE"/>
    <w:rsid w:val="00A6255B"/>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CE2"/>
    <w:rsid w:val="00AC03D8"/>
    <w:rsid w:val="00AC0ECD"/>
    <w:rsid w:val="00AC101F"/>
    <w:rsid w:val="00AC133B"/>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31E"/>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181E"/>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2D5F"/>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263F8"/>
    <w:rsid w:val="00D30E23"/>
    <w:rsid w:val="00D31106"/>
    <w:rsid w:val="00D317CC"/>
    <w:rsid w:val="00D33905"/>
    <w:rsid w:val="00D339E0"/>
    <w:rsid w:val="00D3438F"/>
    <w:rsid w:val="00D3502B"/>
    <w:rsid w:val="00D37695"/>
    <w:rsid w:val="00D40E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B98"/>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109"/>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2FA8"/>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779"/>
    <w:rsid w:val="00FB5AF1"/>
    <w:rsid w:val="00FB5B7B"/>
    <w:rsid w:val="00FB5C19"/>
    <w:rsid w:val="00FB60E9"/>
    <w:rsid w:val="00FB6829"/>
    <w:rsid w:val="00FC030F"/>
    <w:rsid w:val="00FC1139"/>
    <w:rsid w:val="00FC2398"/>
    <w:rsid w:val="00FC2CA4"/>
    <w:rsid w:val="00FC2F3F"/>
    <w:rsid w:val="00FC3FDF"/>
    <w:rsid w:val="00FC4C57"/>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69491064">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4</Pages>
  <Words>533</Words>
  <Characters>3043</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2022-11-01T13:59:00Z</dcterms:created>
  <dcterms:modified xsi:type="dcterms:W3CDTF">2022-11-01T14:08:00Z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